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sz w:val="46"/>
          <w:szCs w:val="46"/>
          <w:lang w:eastAsia="ru-RU"/>
        </w:rPr>
      </w:pPr>
      <w:r>
        <w:rPr/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ГОСУДАРСТВЕННАЯ КОМИССИЯ ПО РАДИОЧАСТОТАМ</w:t>
        <w:br/>
        <w:t>ПРИ МИНИСТЕРСТВЕ РОССИЙСКОЙ ФЕДЕРАЦИИ</w:t>
        <w:br/>
        <w:t>ПО СВЯЗИ И ИНФОРМАЦИИ</w:t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РЕШЕНИЕ</w:t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от 7 мая 2007 года N 07-20-03-001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О выделении полос радиочастот устройствам малого радиуса действия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10 марта 2017 года)</w:t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 </w:t>
        <w:br/>
        <w:t>Документ с изменениями, внесенными: </w:t>
        <w:br/>
      </w:r>
      <w:hyperlink r:id="rId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19 августа 2009 года N 09-04-07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4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15 декабря 2009 года N 09-05-02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5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29 октября 2010 года N 10-09-03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20 декабря 2011 года N 11-13-07-1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</w:t>
        <w:br/>
      </w:r>
      <w:hyperlink r:id="rId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2 октября 2012 года N 12-15-08-8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9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19 декабря 2012 года N 12-16-09-7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0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Минсвязи России от 24 мая 2013 года N 13-18-06-9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1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11 декабря 2013 года N 13-22-08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22 июля 2014 года N 14-26-12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20 ноября 2014 года N 14-29-01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4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10 февраля 2015 года N 15-30-07-5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5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30 июня 2015 года N 15-33-09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29 февраля 2016 года N 16-36-03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; </w:t>
        <w:br/>
      </w:r>
      <w:hyperlink r:id="rId1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Минсвязи России от 10 марта 2017 года N 17-40-06-3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 </w:t>
        <w:br/>
        <w:t>____________________________________________________________________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Рассмотрев обращение Министерства информационных технологий и связи Российской Федерации и заслушав сообщение Федерального государственного унитарного предприятия "Научно-исследовательский институт радио" (ФГУП НИИР) о выделении полос радиочастот устройствам малого радиуса действия, ГКРЧ отмечает.</w:t>
        <w:br/>
        <w:br/>
        <w:t>Устройство малого радиуса действия - это техническое средство, предназначенное для передачи и (или) приема радиоволн на короткие расстояния. Данные устройства используются при условии, что они не создают помех другим радиоэлектронным средствам (РЭС) и не требует защиты от помех со стороны других РЭС. Полосы радиочастот, которые могут быть использованы устройствами малого радиуса действия, приведены в Таблице распределения полос частот между радиослужбами Российской Федерации. Вместе с тем, лишь незначительная часть общего радиочастотного спектра, распределенного для устройств малого радиуса действия, в настоящее время разрешено к использованию указанными устройствами. Это обусловлено отсутствием утвержденных ГКРЧ условий и единых регуляторных процедур использования полос радиочастот, рекомендованных для устройств малого радиуса действия.</w:t>
        <w:br/>
        <w:br/>
        <w:t>В соответствии с </w:t>
      </w:r>
      <w:hyperlink r:id="rId1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от 28.07.2003 N 28/3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ФГУП НИИР совместно с научно-исследовательскими учреждениями Минобороны России и заинтересованными организациями провели комплекс научно-исследовательских работ (далее - НИР), направленных на разработку условий использования различных полос радиочастот устройствами малого радиуса действия.</w:t>
        <w:br/>
        <w:br/>
        <w:t>В ходе НИР выполнен анализ международного опыта регулирования использования радиочастотного спектра устройствами малого радиуса действия, обобщены результаты практического использования устройств малого радиуса действия в Российской Федерации, разработаны условия использования отдельных полос радиочастот новыми типами устройств малого радиуса действия: неспециализированными и индукционными устройствами, а также устройствами передачи данных и обнаружения передвижения. </w:t>
        <w:br/>
        <w:br/>
        <w:t>Признавая важность расширения номенклатуры устройств малого радиуса действия, разрешенных для использования на территории Российской Федерации, а также принимая во внимание результаты исследований, ГКРЧ решила:</w:t>
        <w:br/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1. Выделить гражданам Российской Федерации и российским юридическим лицам полосы радиочастот, указанные в приложениях к настоящему решению ГКРЧ для разработки, производства и модернизации устройств малого радиуса действия при условии, что основные технические характеристики и типы разрабатываемых, производимых и модернизируемых устройств малого радиуса действия соответствуют основным техническим характеристикам и типам, указанным в приложениях к настоящему решению ГКРЧ, а также удовлетворяют требованиям, установленным </w:t>
      </w:r>
      <w:hyperlink r:id="rId19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ГОСТ Р 52459.3-2009 "Совместимость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ГГц"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и </w:t>
      </w:r>
      <w:hyperlink r:id="rId20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"Нормами 18-13. Радиопередающие устройства гражданского назначения. Требования на допустимые уровни побочных излучений. Методы контроля"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, утверждёнными </w:t>
      </w:r>
      <w:hyperlink r:id="rId21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от 24 мая 2013 года N 13-18-03"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</w:t>
        <w:br/>
        <w:t>(Пункт в редакции, введенной в действие </w:t>
      </w:r>
      <w:hyperlink r:id="rId2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 от 11 декабря 2013 года N 13-22-08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</w:t>
        <w:br/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2. Выделить физическим и юридическим лицам полосы радиочастот, указанные в приложениях к настоящему решению ГКРЧ, для применения устройств малого радиуса действия на территории Российской Федерации.</w:t>
        <w:br/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3. Использование указанных в приложениях к настоящему решению ГКРЧ полос радиочастот для применения устройств малого радиуса действия должно осуществляться без оформления отдельных решений ГКРЧ и разрешений на использование радиочастот или радиочастотных каналов для каждого конкретного пользователя при выполнении следующих условий:</w:t>
        <w:br/>
        <w:br/>
        <w:t>- соответствия технических характеристик, условий использования и типов устройств малого радиуса действия основным техническим характеристикам, условиям использования и типам, указанным в приложениях к настоящему решению ГКРЧ; </w:t>
        <w:br/>
        <w:br/>
        <w:t>- устройства малого радиуса действия не должны создавать недопустимых помех и не должны требовать защиты от помех со стороны радиоэлектронных средств, работающих в соответствии с Таблицей распределения полос частот между радиослужбами Российской Федерации;</w:t>
        <w:br/>
        <w:br/>
        <w:t>- регистрации устройств малого радиуса действия в установленном в Российской Федерации порядке.</w:t>
        <w:br/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4. Ввоз из-за границы на территорию Российской Федерации конкретных типов устройств малого радиуса действия должен осуществляться в установленном порядке. При этом включение новых типов устройств малого радиуса в Перечень радиоэлектронных средств, разрешенных для ввоза на территорию Российской Федерации, должен осуществляется при наличии протоколов измерений, подтверждающих соответствие технических характеристик ввозимых устройств малого радиуса действия требованиям, установленным настоящим решением ГКРЧ, </w:t>
      </w:r>
      <w:hyperlink r:id="rId2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ГОСТ Р-51856 "Совместимость технических средств электромагнитная. Средства радиосвязи малого радиуса действия, работающие на частотах от 3 кГц до 400 ГГц. Требования и методы испытаний"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и </w:t>
      </w:r>
      <w:hyperlink r:id="rId24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"Нормами 18-07. Радиопередающие устройства гражданского назначения. Требования на допустимые уровни побочных излучений. Методы контроля"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, утвержденными </w:t>
      </w:r>
      <w:hyperlink r:id="rId25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от 12.02.2007 N 07-19-07-001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".</w:t>
        <w:br/>
        <w:br/>
        <w:t>Протоколы испытаний (измерений) оформляются аккредитованными в установленном порядке в системе сертификации в области связи испытательными лабораториями (центрами) (абзац дополнительно включен </w:t>
      </w:r>
      <w:hyperlink r:id="rId2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).</w:t>
        <w:br/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5. Срок действия настоящего решения ГКРЧ до 01.05.2027.</w:t>
        <w:br/>
        <w:t>(Пункт в редакции, введенной в действие </w:t>
      </w:r>
      <w:hyperlink r:id="rId2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Минсвязи России от 10 марта 2017 года N 17-40-06-3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 - См. </w:t>
      </w:r>
      <w:hyperlink r:id="rId2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редакция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1. Неспециализированные (любого назначения) устройства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</w:t>
        <w:br/>
        <w:t>к решению ГКРЧ</w:t>
        <w:br/>
        <w:t>от 7 мая 2007 года N 07-20-03-001</w:t>
        <w:br/>
        <w:t>(В редакции, </w:t>
        <w:br/>
        <w:t>введенной в действие </w:t>
        <w:br/>
      </w:r>
      <w:hyperlink r:id="rId29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 </w:t>
          <w:br/>
          <w:t>при Мининформсвязи России </w:t>
          <w:br/>
          <w:t>от 2 октября 2012 года N 12-15-08-8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 - </w:t>
        <w:br/>
        <w:t>См. </w:t>
      </w:r>
      <w:hyperlink r:id="rId30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  <w:br/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Неспециализированные (любого назначения) устройства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20 ноября 2014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2D2D2D"/>
          <w:sz w:val="21"/>
          <w:szCs w:val="21"/>
          <w:lang w:eastAsia="ru-RU"/>
        </w:rPr>
        <w:t>Неспециализированные (любого назначения) устройства - устройства малого радиуса общего применения, включая устройства дистанционного управления и передачи телеметрии, телеуправления, сигнализации, передачи данных и других подобных передач.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неспециализированных устройств малого радиуса действия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82"/>
        <w:gridCol w:w="2204"/>
        <w:gridCol w:w="1204"/>
        <w:gridCol w:w="1448"/>
        <w:gridCol w:w="854"/>
        <w:gridCol w:w="912"/>
        <w:gridCol w:w="1800"/>
      </w:tblGrid>
      <w:tr>
        <w:trPr>
          <w:trHeight w:val="23" w:hRule="exact"/>
        </w:trPr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 радиочастот</w:t>
            </w:r>
          </w:p>
        </w:tc>
        <w:tc>
          <w:tcPr>
            <w:tcW w:w="48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Рабо-</w:t>
              <w:br/>
              <w:t>чий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Дополни-</w:t>
              <w:br/>
              <w:t>тельные</w:t>
            </w:r>
          </w:p>
        </w:tc>
      </w:tr>
      <w:tr>
        <w:trPr/>
        <w:tc>
          <w:tcPr>
            <w:tcW w:w="17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8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9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лов</w:t>
            </w:r>
          </w:p>
        </w:tc>
        <w:tc>
          <w:tcPr>
            <w:tcW w:w="1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26,957-27,283 МГц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Напряженность магнитного поля на расстоянии 10 м, не более;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  <w:br/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 (мкА/м)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огра-</w:t>
              <w:br/>
              <w:t>ниче-</w:t>
              <w:br/>
              <w:t>ний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78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2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более;</w:t>
            </w:r>
          </w:p>
        </w:tc>
        <w:tc>
          <w:tcPr>
            <w:tcW w:w="12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14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85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91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Коэффициент усиления антенны, не более;</w:t>
            </w:r>
          </w:p>
        </w:tc>
        <w:tc>
          <w:tcPr>
            <w:tcW w:w="12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8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9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40,660-40,700 МГц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более;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огра-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7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2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Коэффициент усиления антенны, не более;</w:t>
            </w:r>
          </w:p>
        </w:tc>
        <w:tc>
          <w:tcPr>
            <w:tcW w:w="12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8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ниче-</w:t>
              <w:br/>
              <w:t>ний</w:t>
            </w:r>
          </w:p>
        </w:tc>
        <w:tc>
          <w:tcPr>
            <w:tcW w:w="9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433,075-434,79 МГц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более;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Допускается использование маломощными радио-</w:t>
              <w:br/>
              <w:t>станциями и устройствами для обработки штрихкодов</w:t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459-460 МГц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огра-</w:t>
              <w:br/>
              <w:t>ниче-</w:t>
              <w:br/>
              <w:t>ний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Требуется получение разрешения на использование радиочастот или радиочастотных каналов в установленном порядке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3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11 декабря 2013 года N 13-22-08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  <w:br/>
            </w:r>
          </w:p>
        </w:tc>
      </w:tr>
      <w:tr>
        <w:trPr/>
        <w:tc>
          <w:tcPr>
            <w:tcW w:w="1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2400-2483,5 МГц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огра-</w:t>
              <w:br/>
              <w:t>ниче-</w:t>
              <w:br/>
              <w:t>ний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32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20 ноября 2014 года N 14-29-01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2. Основные технические характеристики и условия использования устройств малого радиуса действия в сетях беспроводной передачи данных и других устройств с функцией передачи данных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2</w:t>
        <w:br/>
        <w:t>к решению ГКРЧ</w:t>
        <w:br/>
        <w:t>от 7 мая 2007 года N 07-20-03-001</w:t>
        <w:br/>
        <w:t>(В редакции, введенной в действие</w:t>
        <w:br/>
      </w:r>
      <w:hyperlink r:id="rId3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</w:t>
          <w:br/>
          <w:t>от 29 февраля 2016 года N 16-36-03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 -</w:t>
        <w:br/>
        <w:t>См. </w:t>
      </w:r>
      <w:hyperlink r:id="rId34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малого радиуса действия в сетях беспроводной передачи данных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</w:t>
        <w:br/>
        <w:t>* Допускается также использование устройств управления моделями в полосе радиочастот 2400-2483,5 МГц.</w:t>
        <w:br/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935"/>
        <w:gridCol w:w="2740"/>
        <w:gridCol w:w="1599"/>
        <w:gridCol w:w="1361"/>
        <w:gridCol w:w="1"/>
        <w:gridCol w:w="2569"/>
      </w:tblGrid>
      <w:tr>
        <w:trPr>
          <w:trHeight w:val="23" w:hRule="exac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570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25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радиочастот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02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1. Устройства с псевдослучайной перестройкой рабочей частоты (ППРЧ)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2400-2483,5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Ширина канала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менее 1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Время пребывания (работы) на одной несущей, выбор которой осуществляется по псевдослучайному закону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более 0,4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каналов ППРЧ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менее 15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2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2. Устройства с прямым расширением спектра и другими видами модуляции**</w:t>
            </w:r>
          </w:p>
        </w:tc>
      </w:tr>
      <w:tr>
        <w:trPr/>
        <w:tc>
          <w:tcPr>
            <w:tcW w:w="10205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________________</w:t>
              <w:br/>
              <w:t>** Для устройств с прямым расширением спектра и другими видами модуляции при указании ограничений на максимальное значение ЭИИМ и спектральной плотности ЭИИМ является обязательным выполнение этих двух условий.</w:t>
              <w:br/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2400-2483,5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мВт/МГц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2400-2483,5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мВт/МГц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Допускается применение РЭС вне закрытых помещений только для целей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сбора информации телеметрии в составе автоматизированных систем контроля и учета ресурсов или систем охраны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5150-5350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мВт/МГц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Для применения внутри закрытых помещений***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 использованием системы автоматической регулировки мощности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5650-5850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мВт/МГц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Для применения внутри закрытых помещений***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 использованием системы автоматической регулировки мощности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57-66 ГГц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Для применения только внутри закрытых помещений***</w:t>
            </w:r>
          </w:p>
        </w:tc>
      </w:tr>
      <w:tr>
        <w:trPr/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</w:t>
            </w:r>
          </w:p>
        </w:tc>
        <w:tc>
          <w:tcPr>
            <w:tcW w:w="257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20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3. Устройства на борту воздушных судов с прямым расширением спектра и другими видами модуляции**</w:t>
            </w:r>
          </w:p>
        </w:tc>
      </w:tr>
      <w:tr>
        <w:trPr/>
        <w:tc>
          <w:tcPr>
            <w:tcW w:w="10205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________________</w:t>
              <w:br/>
              <w:t>** Для устройств с прямым расширением спектра и другими видами модуляции при указании ограничений на максимальное значение ЭИИМ и спектральной плотности ЭИИМ является обязательным выполнение этих двух условий.</w:t>
              <w:br/>
              <w:br/>
              <w:t>*** Условие применения устройств малого радиуса действия внутри закрытых помещений должно обеспечивать дополнительное ослабление радиосигнала от указанных устройств в направлении других РЭС, функционирующих в соответствии с </w:t>
            </w:r>
            <w:hyperlink r:id="rId3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Таблицей распределения полос частот между радиослужбами Российской Федерации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5150-5250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Применение на борту воздушных судов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5250-5350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Применение на борту воздушных судов:</w:t>
              <w:br/>
              <w:br/>
              <w:t>1. Для локальных сетей служебной связи экипажа воздушного судна разрешается использование на борту воздушных судов в районе аэропорта и на всех этапах полета</w:t>
              <w:br/>
              <w:br/>
              <w:t>2. Для локальных сетей беспроводного доступа общего использования - разрешается использование на борту воздушных судов в полете, на высоте не ниже 3000 м</w:t>
            </w:r>
          </w:p>
        </w:tc>
      </w:tr>
      <w:tr>
        <w:trPr/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5650-5825 МГц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2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Разрешается использование на борту воздушных судов, находящихся в полете на высоте не ниже 3000 м</w:t>
            </w:r>
          </w:p>
        </w:tc>
      </w:tr>
    </w:tbl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3. Устройства охранной радиосигнализации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3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Устройства охранной радиосигнализации - системы радиосигнализации, включающие системы общественной радиосигнализации и системы радиосигнализации для обеспечения безопасности.</w:t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охранной радиосигнализации</w:t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88"/>
        <w:gridCol w:w="1829"/>
        <w:gridCol w:w="1176"/>
        <w:gridCol w:w="1455"/>
        <w:gridCol w:w="1084"/>
        <w:gridCol w:w="1049"/>
        <w:gridCol w:w="2124"/>
      </w:tblGrid>
      <w:tr>
        <w:trPr>
          <w:trHeight w:val="23" w:hRule="exact"/>
        </w:trPr>
        <w:tc>
          <w:tcPr>
            <w:tcW w:w="1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 радиочастот</w:t>
            </w:r>
          </w:p>
        </w:tc>
        <w:tc>
          <w:tcPr>
            <w:tcW w:w="44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 использования</w:t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26,939-26,951 МГц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&lt;10%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Ограничивается использованием в системах охранной радиосигнализации</w:t>
            </w:r>
          </w:p>
        </w:tc>
      </w:tr>
      <w:tr>
        <w:trPr/>
        <w:tc>
          <w:tcPr>
            <w:tcW w:w="14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0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автомашин на радиочастоте 26,945 МГц</w:t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26,954-26,966 МГц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&lt;10%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Ограничивается использованием в системах охранной радиосигнализации</w:t>
            </w:r>
          </w:p>
        </w:tc>
      </w:tr>
      <w:tr>
        <w:trPr/>
        <w:tc>
          <w:tcPr>
            <w:tcW w:w="14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0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помещений на радиочастоте 26,960 МГц</w:t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149,95-150,0625 МГц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&lt;10%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Ограничивается использованием в системах охранной радиосигнализации</w:t>
            </w:r>
          </w:p>
        </w:tc>
      </w:tr>
      <w:tr>
        <w:trPr/>
        <w:tc>
          <w:tcPr>
            <w:tcW w:w="14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0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удаленных объектов</w:t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433,05- 434,79 МГц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&lt;10%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4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0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868-868,2 МГц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&lt;10%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4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0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4. Индукционные устройства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br/>
        <w:t>Приложение 4</w:t>
        <w:br/>
        <w:t>к решению ГКРЧ</w:t>
        <w:br/>
        <w:t>от 7 мая 2007 года N 07-20-03-001</w:t>
        <w:br/>
        <w:t>(в редакции </w:t>
      </w:r>
      <w:hyperlink r:id="rId3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решения ГКРЧ при Мининформсвязи России</w:t>
          <w:br/>
          <w:t>от 19 августа 2009 года N 09-04-07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 -</w:t>
        <w:br/>
        <w:t>См. </w:t>
      </w:r>
      <w:hyperlink r:id="rId3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Индукционные устройства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Индукционные устройства - системы связи, основанные на использовании свойств магнитного поля и как правило использующие низкие радиочастоты.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индукционных устройств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61"/>
        <w:gridCol w:w="1964"/>
        <w:gridCol w:w="1183"/>
        <w:gridCol w:w="1311"/>
        <w:gridCol w:w="1"/>
        <w:gridCol w:w="1120"/>
        <w:gridCol w:w="1"/>
        <w:gridCol w:w="1143"/>
        <w:gridCol w:w="1"/>
        <w:gridCol w:w="1919"/>
      </w:tblGrid>
      <w:tr>
        <w:trPr>
          <w:trHeight w:val="23" w:hRule="exact"/>
        </w:trPr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  <w:br/>
              <w:t>радиочастот</w:t>
            </w:r>
          </w:p>
        </w:tc>
        <w:tc>
          <w:tcPr>
            <w:tcW w:w="44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19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</w:t>
            </w:r>
          </w:p>
        </w:tc>
      </w:tr>
      <w:tr>
        <w:trPr/>
        <w:tc>
          <w:tcPr>
            <w:tcW w:w="15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21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44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использования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9-59,75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случае применения внешней антенны допускается использование только петлевой антенны. Снижение напряженности поля 3 дБ/октава в полосе 30 кГц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38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59,75-60,25 кГц</w:t>
            </w:r>
          </w:p>
        </w:tc>
        <w:tc>
          <w:tcPr>
            <w:tcW w:w="19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1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случае применения внешней антенны допускается использование только петлевой антенны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3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  <w:br/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60,25-70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случае применения внешней антенны допускается использование только петлевой антенны. Снижение напряженности поля 3 дБ/октава в полосе 30 кГц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70-119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случае применения внешней антенны допускается использование только петлевой антенны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119-135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случае применения внешней антенны допускается использование только петлевой антенны. Снижение напряженности поля 3 дБ/октава в полосе 30 кГц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2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6765-6795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3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7400-8800 кГц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10,2-11 МГц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13,553-13,567 МГц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6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26,957-27,283 МГц</w:t>
            </w:r>
          </w:p>
        </w:tc>
        <w:tc>
          <w:tcPr>
            <w:tcW w:w="19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18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1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дБ(мкА/м)</w:t>
            </w:r>
          </w:p>
        </w:tc>
        <w:tc>
          <w:tcPr>
            <w:tcW w:w="1121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44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47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5. Устройства управления моделями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5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Устройства управления моделями - радиооборудование для управления перемещением модели (игрушки) в воздушном пространстве, на земле, на воде и под водой.</w:t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управления моделями</w:t>
      </w:r>
    </w:p>
    <w:tbl>
      <w:tblPr>
        <w:tblW w:w="102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02"/>
        <w:gridCol w:w="2096"/>
        <w:gridCol w:w="1262"/>
        <w:gridCol w:w="1107"/>
        <w:gridCol w:w="1"/>
        <w:gridCol w:w="1143"/>
        <w:gridCol w:w="1"/>
        <w:gridCol w:w="1116"/>
        <w:gridCol w:w="1"/>
        <w:gridCol w:w="1974"/>
      </w:tblGrid>
      <w:tr>
        <w:trPr>
          <w:trHeight w:val="23" w:hRule="exact"/>
        </w:trPr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 радиочастот</w:t>
            </w:r>
          </w:p>
        </w:tc>
        <w:tc>
          <w:tcPr>
            <w:tcW w:w="4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1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 использования</w:t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26,957-27,283 МГц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передатчика;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1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 кГц</w:t>
            </w:r>
          </w:p>
        </w:tc>
        <w:tc>
          <w:tcPr>
            <w:tcW w:w="19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Радиочастоты: 26,995 МГц; 27,045 МГц; 27,095 МГц;</w:t>
            </w:r>
          </w:p>
        </w:tc>
      </w:tr>
      <w:tr>
        <w:trPr/>
        <w:tc>
          <w:tcPr>
            <w:tcW w:w="150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26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44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17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27,145 МГц; 27,195 МГц</w:t>
            </w:r>
          </w:p>
        </w:tc>
      </w:tr>
      <w:tr>
        <w:trPr/>
        <w:tc>
          <w:tcPr>
            <w:tcW w:w="10203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 </w:t>
            </w:r>
            <w:hyperlink r:id="rId48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решения ГКРЧ при Мининформсвязи России от 15 декабря 2009 года N 09-05-09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; в редакции, введенной в действие </w:t>
            </w:r>
            <w:hyperlink r:id="rId4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28,0-28,2 МГц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передатчика;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1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50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26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44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17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3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40,66-40,7 МГц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передатчика;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1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 кГц</w:t>
            </w:r>
          </w:p>
        </w:tc>
        <w:tc>
          <w:tcPr>
            <w:tcW w:w="19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50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262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44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17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3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6. Радиомикрофоны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br/>
        <w:t>Приложение 6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10 марта 2017 года)</w:t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  <w:br/>
        <w:t>Настоящее приложение дополнено условиями использования полосы радиочастот 470-638 МГц - </w:t>
      </w:r>
      <w:hyperlink r:id="rId5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 ГКРЧ при Минсвязи России от 10 марта 2017 года N 17-40-06-3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(изменения не приводятся). </w:t>
        <w:br/>
        <w:t>____________________________________________________________________ </w:t>
        <w:br/>
        <w:br/>
        <w:t>Под радиомикрофонами подразумеваются портативные маломощные передатчики, носимые или прикрепляемые к одежде для передачи звуковой информации, включая устройства для людей с дефектами слуха.</w:t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малого радиуса действия типа радиомикрофоны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49"/>
        <w:gridCol w:w="1874"/>
        <w:gridCol w:w="1189"/>
        <w:gridCol w:w="1464"/>
        <w:gridCol w:w="1126"/>
        <w:gridCol w:w="1026"/>
        <w:gridCol w:w="2076"/>
      </w:tblGrid>
      <w:tr>
        <w:trPr>
          <w:trHeight w:val="23" w:hRule="exact"/>
        </w:trPr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 радиочастот</w:t>
            </w:r>
          </w:p>
        </w:tc>
        <w:tc>
          <w:tcPr>
            <w:tcW w:w="45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 использования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33,175-40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Слухоречевые радиотренажеры для людей с дефектами слуха.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Фиксированные частоты:</w:t>
              <w:br/>
              <w:t>33,2; 33,35; 33,45; 33,55; 33,575;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33,6; 33,75; 33,85; 33,875; 33,9; 34,05; 34,15; 34,175; 34,2; 34,3; 34,375; 34,4; 34,975; 35,025; 35,15; 35,225; 35,375; 35,55; 35,65; 35,95; 35,975; 36,025; 36,075; 36,125; 36,175; 36,225; 36,275; 36,325; 36,375; 36,425; 36,475; 36,525; 36,575; 36,625; 36,675; 36,725; 36,775; 36,825; 36,875; 36,925; 36,975; 37,025; 37,075; 37,125; 37,175; 37,225; 37,275; 37,325; 37,375; 37,425; 37,475; 37,525; 37,575; 37,625; 37,675; 37,725; 37,775; 37,825; 37,875; 37,925; 37,975; 38,025; 38,075; 38,125; 38,175; 38,225; 38,275; 38,325; 38,375; 38,425; 38,475; 38,525; 38,575; 38,625; 38,675; 38,725; 38,775; 39,025; 39,225; 39,400; 39,6; 39,75; 39,85; 39,925; 39,975;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3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40,025-48,5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Слухоречевые радиотренажеры для людей с дефектами слуха. Фиксированные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частоты: 40,05; 40,15; 40,25; 40,325; 40,425; 40,65;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40,825; 41,3; 41,325; 41,35; 41,375; 41,4; 41,5; 41,6; 41,625; 41,65; 41,675; 41,7; 41,75; 41,8; 41,9; 41,95; 42,1; 42,15; 42,2; 42,25; 42,35; 42,45; 42,475; 42,5; 42,525; 42,55; 42,575; 42,6; 42,625; 42,65; 42,675; 42,7; 42,725; 42,75; 42,8; 42,85; 42,95; 42,975; 43;</w:t>
              <w:br/>
              <w:t>43,15; 43,175; 43,2; 43,225; 43,25; 43,4; 43,5; 43,7; 43,725; 43,75; 43,8; 44; 44,25; 44,4; 44,475; 44,5; 44,65; 44,75; 44,975; 45; 45,25; 45,45; 45,475; 45,5; 45,65; 45,75; 45,8; 45,95; 45,975; 46; 46,125; 46,175; 46,225; 46,425; 46,45; 46,475; 46,55; 46,575; 46,6; 46,65; 46,675; 46,7; 46,775; 46,8; 46,825; 46,85; 46,875; 46,925; 46,95; 46,975; 47; 47,075; 47,125; 47,25; 47,3; 47,375; 47,4; 47,425; 47,45; 47,55; 47,575; 47,625; 47,675; 47,7; 47,725; 47,825; 47,85; 47,875; 47,925; 47,975; 48,075; 48,125; 48,15; 48,175; 48,325; 48,35; 48,375; 48,425; 48,45; 48,475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57-57,575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Слухоречевые радиотренажеры для людей с дефектами слуха.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Фиксированные частоты:</w:t>
              <w:br/>
              <w:t>57,0125; 57,025; 57,0375; 57,05;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57,0625; 57,075; 57,0875; 57,1; 57,1125; 57,125; 57,1375; 57,15; 57,1625; 57,175; 57,1875; 57,2; 57,2125; 57,225; 57,2375; 57,25; 57,2625; 57,275; 57,2875; 57,3; 57,3125; 57,325; 57,3375; 57,35; 57,3625; 57,375; 57,3875; 57,4; 57,4125; 57,425; 57,4375; 57,45; 57,475; 57,4875; 57,5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66-74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Радиомикрофоны типа "Караоке"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  <w:br/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6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87,5-92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Радиомикрофоны типа "Караоке"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7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100-108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Радиомикрофоны типа "Караоке"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8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151-162, МГц и 163,2-168,5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165,55-167,3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Концертные радиомикрофоны, работающие на радиочастотах: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165,7 МГц; 166,1 МГц; 166,5 МГц; 167,15 МГц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174-230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Концертные радиомикрофоны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 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5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470-638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 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6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; в редакции, введенной в действие </w:t>
            </w:r>
            <w:hyperlink r:id="rId6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Минсвязи России от 24 мая 2013 года N 13-18-06-9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  <w:br/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710-726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 </w:t>
            </w:r>
          </w:p>
        </w:tc>
        <w:tc>
          <w:tcPr>
            <w:tcW w:w="11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62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; в редакции, введенной в действие </w:t>
            </w:r>
            <w:hyperlink r:id="rId63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Минсвязи России от 24 мая 2013 года N 13-18-06-9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4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650-758 МГц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Для применения внутри</w:t>
            </w:r>
          </w:p>
        </w:tc>
      </w:tr>
      <w:tr>
        <w:trPr/>
        <w:tc>
          <w:tcPr>
            <w:tcW w:w="144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Максимальный коэффициент усиления антенны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1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ограни-</w:t>
              <w:br/>
              <w:t>чений</w:t>
            </w:r>
          </w:p>
        </w:tc>
        <w:tc>
          <w:tcPr>
            <w:tcW w:w="102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7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закрытых помещений*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6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29 февраля 2016 года N 16-36-03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________________</w:t>
              <w:br/>
              <w:t>* Условие применения устройств малого радиуса действия внутри закрытых помещений должно обеспечивать дополнительное ослабление радиосигнала на 12 дБ от указанных устройств в направлении других РЭС, функционирующих в соответствии с </w:t>
            </w:r>
            <w:hyperlink r:id="rId6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Таблицей распределения полос частот между радиослужбами Российской Федерации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  <w:br/>
              <w:t>(Сноска дополнительно включена </w:t>
            </w:r>
            <w:hyperlink r:id="rId66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29 февраля 2016 года N 16-36-03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 </w:t>
            </w:r>
          </w:p>
        </w:tc>
      </w:tr>
    </w:tbl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7. Устройства для обнаружения передвижения и радиосигнализации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7</w:t>
        <w:br/>
        <w:t>к решению ГКРЧ</w:t>
        <w:br/>
        <w:t>от 7 мая 2007 года N 07-20-03-001</w:t>
        <w:br/>
        <w:t>(в редакции </w:t>
      </w:r>
      <w:hyperlink r:id="rId6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решения ГКРЧ </w:t>
          <w:br/>
          <w:t>при Мининформсвязи России</w:t>
          <w:br/>
          <w:t>от 19 августа 2009 года N 09-04-07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-</w:t>
        <w:br/>
        <w:t>см. </w:t>
      </w:r>
      <w:hyperlink r:id="rId6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Устройства для обнаружения передвижения и радиосигнализации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24 мая 2013 года)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Устройства для обнаружения передвижения и радиосигнализации - радары малой мощности для целей радиоопределения, включающее определение положения, скорости или других характеристик объекта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для обнаружения передвижения и радиосигнализации</w:t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66"/>
        <w:gridCol w:w="1736"/>
        <w:gridCol w:w="1148"/>
        <w:gridCol w:w="1265"/>
        <w:gridCol w:w="5"/>
        <w:gridCol w:w="1446"/>
        <w:gridCol w:w="5"/>
        <w:gridCol w:w="1092"/>
        <w:gridCol w:w="5"/>
        <w:gridCol w:w="2037"/>
      </w:tblGrid>
      <w:tr>
        <w:trPr>
          <w:trHeight w:val="23" w:hRule="exact"/>
        </w:trPr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  <w:br/>
              <w:t>радиочастот</w:t>
            </w:r>
          </w:p>
        </w:tc>
        <w:tc>
          <w:tcPr>
            <w:tcW w:w="41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</w:t>
            </w:r>
          </w:p>
        </w:tc>
      </w:tr>
      <w:tr>
        <w:trPr/>
        <w:tc>
          <w:tcPr>
            <w:tcW w:w="146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2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451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97" w:type="dxa"/>
            <w:gridSpan w:val="2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3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использования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10,54-10,56 ГГц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12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Разрешается использование только на борту речных и морских судов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(Позицция дополнительно включена </w:t>
            </w:r>
            <w:hyperlink r:id="rId6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19 декабря 2012 года N 12-16-09-7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24,05-24,25 ГГц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Автомобильные радары:</w:t>
              <w:br/>
              <w:br/>
              <w:t>Ширина полосы излучения не менее 9 МГц - без ограничений;</w:t>
              <w:br/>
              <w:br/>
              <w:t>Ширина полосы излучения меньше 9 МГц:</w:t>
              <w:br/>
              <w:br/>
              <w:t>Время облучения не должно превышать 0,14 мкс каждые 3 мс в полосе 60 кГц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7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24,05-24,25 ГГц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  <w:br/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Фиксированные радары:</w:t>
              <w:br/>
              <w:br/>
              <w:t>1. РЭС определения параметров движения транспортных средств должны устанавливаться вдоль автодорог на расстоянии не менее 4 м от контролируемого участка дороги.</w:t>
              <w:br/>
              <w:br/>
              <w:t>2. Установка РЭС определения параметров движения транспортных средств должна выполняться перпендикулярно направлению движения на одно- или многополосной дороге с допустимым отклонением 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CC4414C">
                      <wp:extent cx="143510" cy="1530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5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11.2pt;height:11.95pt" wp14:anchorId="0CC4414C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15 град.</w:t>
              <w:br/>
              <w:br/>
              <w:t>3. Высота установки РЭС определения параметров движения транспортных средств не должна превышать 5 м над дорожным покрытием.</w:t>
              <w:br/>
              <w:br/>
              <w:t>4. Угол наклона главного луча к горизонту должен составлять минус 20 и менее градусов.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7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>
          <w:trHeight w:val="23" w:hRule="exact"/>
        </w:trPr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76-77 ГГц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4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Автомобильные радары</w:t>
              <w:br/>
              <w:t>Используемая модуляция:</w:t>
              <w:br/>
              <w:t>непрерывный ЧМ сигнал/импульсная с ЛЧМ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72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29 октября 2010 года N 10-09-03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77-81 ГГц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-33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дБВт/МГц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Ширина канала не менее 500 МГц</w:t>
            </w:r>
          </w:p>
        </w:tc>
        <w:tc>
          <w:tcPr>
            <w:tcW w:w="204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Автомобильные сверхшироко-</w:t>
              <w:br/>
              <w:t>полосные радары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73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29 октября 2010 года N 10-09-03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2440-2460 МГц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04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Разрешается использование только на борту речных и морских судов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7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Минсвязи России от 24 мая 2013 года N 13-18-06-9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9200-9975 МГц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чений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 </w:t>
            </w:r>
          </w:p>
        </w:tc>
        <w:tc>
          <w:tcPr>
            <w:tcW w:w="204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 </w:t>
            </w:r>
          </w:p>
        </w:tc>
      </w:tr>
      <w:tr>
        <w:trPr/>
        <w:tc>
          <w:tcPr>
            <w:tcW w:w="10205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7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8. Устройства для обнаружения и спасания пострадавших от снежных лавин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8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Устройства для обнаружения и спасания пострадавших от снежных лавин - это радиолокационные маяки (лавинные маяки), предназначенные для поиска и обнаружения жертв после схода лавины.</w:t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устройства для обнаружения и спасания пострадавших от снежных лавин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11"/>
        <w:gridCol w:w="2145"/>
        <w:gridCol w:w="1278"/>
        <w:gridCol w:w="1135"/>
        <w:gridCol w:w="1"/>
        <w:gridCol w:w="1156"/>
        <w:gridCol w:w="1"/>
        <w:gridCol w:w="1130"/>
        <w:gridCol w:w="1"/>
        <w:gridCol w:w="2246"/>
      </w:tblGrid>
      <w:tr>
        <w:trPr>
          <w:trHeight w:val="23" w:hRule="exact"/>
        </w:trPr>
        <w:tc>
          <w:tcPr>
            <w:tcW w:w="1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</w:r>
          </w:p>
        </w:tc>
        <w:tc>
          <w:tcPr>
            <w:tcW w:w="45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13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частота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57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31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247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1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457 кГц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м.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 (мкА/м)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3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24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Непрерывно излучаемая немодулированная несущая</w:t>
            </w:r>
          </w:p>
        </w:tc>
      </w:tr>
      <w:tr>
        <w:trPr/>
        <w:tc>
          <w:tcPr>
            <w:tcW w:w="10204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76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9. Устройства радиочастотной идентификации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9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Устройства радиочастотной идентификации - это устройства малого радиуса действия, предназначенные для передачи данных в соответствующие "метки" и получение данных вручную или машинным способом.</w:t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устройства радиочастотной идентификации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6"/>
        <w:gridCol w:w="2024"/>
        <w:gridCol w:w="1240"/>
        <w:gridCol w:w="1560"/>
        <w:gridCol w:w="1130"/>
        <w:gridCol w:w="1101"/>
        <w:gridCol w:w="1953"/>
      </w:tblGrid>
      <w:tr>
        <w:trPr>
          <w:trHeight w:val="23" w:hRule="exact"/>
        </w:trPr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</w:r>
          </w:p>
        </w:tc>
        <w:tc>
          <w:tcPr>
            <w:tcW w:w="48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1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частота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1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0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19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1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13,553-13,567 МГц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м.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 (мкА/м)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77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10. Устройства радиочастотной идентификации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10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(дополнительно включено</w:t>
        <w:br/>
      </w:r>
      <w:hyperlink r:id="rId7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 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br/>
        <w:t>Устройства радиочастотной идентификации      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 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Устройства радиочастотной идентификации - это устройства малого радиуса действия, предназначенные для передачи данных в соответствующих "метках" и получение данных вручную или машинным способом.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устройства радиочастотной идентификации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32"/>
        <w:gridCol w:w="2241"/>
        <w:gridCol w:w="1294"/>
        <w:gridCol w:w="1025"/>
        <w:gridCol w:w="1157"/>
        <w:gridCol w:w="1138"/>
        <w:gridCol w:w="2017"/>
      </w:tblGrid>
      <w:tr>
        <w:trPr>
          <w:trHeight w:val="23" w:hRule="exact"/>
        </w:trPr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3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</w:r>
          </w:p>
        </w:tc>
        <w:tc>
          <w:tcPr>
            <w:tcW w:w="4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3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частота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5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0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3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866,6-867,4 МГц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ЭИМ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требуется присвоение (назначение) радиочастот или радиочастотных каналов при:</w:t>
              <w:br/>
              <w:br/>
              <w:t>а) использовании режима LBT*, и</w:t>
              <w:br/>
              <w:br/>
              <w:t>б) использовании в пределах аэропортов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7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3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866-868 МГц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ЭИМ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Требуется присвоение (назначение) радиочастот или радиочастотных каналов в установленном порядке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8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3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866,0-867,6 МГц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ЭИМ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 кГц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Требуется присвоение (назначение) радиочастот или радиочастотных каналов в установленном порядке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8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* LBT - режим прослушивания перед излучением.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11. Неспециализированные (любого назначения) устройства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11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(дополнительно включено</w:t>
        <w:br/>
      </w:r>
      <w:hyperlink r:id="rId8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 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br/>
        <w:t>Неспециализированные (любого назначения) устройства     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Неспециализированные (любого назначения) устройства - устройства малого радиуса общего применения, включая устройства дистанционного управления и передачи телеметрии, телеуправления, сигнализации, передачи данных и других подобных передач.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неспециализированных устройств малого радиуса действия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9"/>
        <w:gridCol w:w="2181"/>
        <w:gridCol w:w="1274"/>
        <w:gridCol w:w="1119"/>
        <w:gridCol w:w="1153"/>
        <w:gridCol w:w="1129"/>
        <w:gridCol w:w="2069"/>
      </w:tblGrid>
      <w:tr>
        <w:trPr>
          <w:trHeight w:val="23" w:hRule="exact"/>
        </w:trPr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5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2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  <w:br/>
              <w:t>частот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06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2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864-865 МГц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ЭИМ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0,1% или режим LBT*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Запрещается использование в пределах аэропортов (аэродромов)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83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2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868,7-869,2 МГц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ЭИМ</w:t>
              <w:br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8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2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5725-5875 МГц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ЭИМ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0,1% или режим LBT*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Высота подвеса антенн не более 5 метров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85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* LBT - режим прослушивания перед излучением.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12. Устройства локальных (персональных) радиосетей (исключено)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12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8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315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  <w:br/>
        <w:t>Приложение 12 исключено на основании</w:t>
        <w:br/>
      </w:r>
      <w:hyperlink r:id="rId8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решения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 - </w:t>
        <w:br/>
        <w:t>См. </w:t>
      </w:r>
      <w:hyperlink r:id="rId8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12. Телематические устройства на транспорте</w:t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  <w:br/>
      </w:r>
      <w:hyperlink r:id="rId89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Приложение 13 предыдущей редакции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считается приложением 12 настоящей редакции - </w:t>
      </w:r>
      <w:hyperlink r:id="rId90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 </w:t>
        <w:br/>
        <w:t>____________________________________________________________________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12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91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br/>
        <w:t>     </w:t>
        <w:br/>
        <w:t>Телематические устройства на транспорте      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Телематические устройства на транспорте - устройства малого радиуса действия, используемые для передачи данных между транспортными средствами, а также между транспортными средствами и дорожной инфраструктурой для различных информационных приложений.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локальных радиосетей</w:t>
      </w:r>
    </w:p>
    <w:tbl>
      <w:tblPr>
        <w:tblW w:w="102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2"/>
        <w:gridCol w:w="2209"/>
        <w:gridCol w:w="1282"/>
        <w:gridCol w:w="1125"/>
        <w:gridCol w:w="1241"/>
        <w:gridCol w:w="1053"/>
        <w:gridCol w:w="2081"/>
      </w:tblGrid>
      <w:tr>
        <w:trPr>
          <w:trHeight w:val="23" w:hRule="exact"/>
        </w:trPr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6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2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  <w:br/>
              <w:t>частот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2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0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0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2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5795-5815 МГц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ЭИМ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Требуется получение разрешения на использование радиочастот или радиочастотных каналов в установленном порядке.</w:t>
            </w:r>
          </w:p>
        </w:tc>
      </w:tr>
      <w:tr>
        <w:trPr/>
        <w:tc>
          <w:tcPr>
            <w:tcW w:w="10203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92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13. Беспроводное аудиооборудование</w:t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  <w:br/>
      </w:r>
      <w:hyperlink r:id="rId9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Приложение 14 предыдущей редакции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считается приложением 13 настоящей редакции - </w:t>
      </w:r>
      <w:hyperlink r:id="rId94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13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(дополнительно включено</w:t>
        <w:br/>
      </w:r>
      <w:hyperlink r:id="rId95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Беспроводное аудиооборудование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Беспроводное аудиооборудование - устройства малого радиуса действия, используемые для передачи данных между акустическими системами, наушниками, микрофонами и другими аудиоустройствами.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локальных радиосетей</w:t>
      </w:r>
    </w:p>
    <w:tbl>
      <w:tblPr>
        <w:tblW w:w="102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2"/>
        <w:gridCol w:w="2209"/>
        <w:gridCol w:w="1282"/>
        <w:gridCol w:w="1125"/>
        <w:gridCol w:w="1159"/>
        <w:gridCol w:w="1135"/>
        <w:gridCol w:w="2081"/>
      </w:tblGrid>
      <w:tr>
        <w:trPr>
          <w:trHeight w:val="23" w:hRule="exact"/>
        </w:trPr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6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2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  <w:br/>
              <w:t>частот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0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2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863-865 МГц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ЭИМ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3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96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14. Автомобильные радары ближнего действия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>
      <w:pPr>
        <w:pStyle w:val="Normal"/>
        <w:spacing w:lineRule="atLeast" w:line="315" w:before="0" w:after="0"/>
        <w:textAlignment w:val="baseline"/>
        <w:rPr/>
      </w:pPr>
      <w:hyperlink r:id="rId97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Приложение 15 предыдущей редакции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считается приложением 14 настоящей редакции - </w:t>
      </w:r>
      <w:hyperlink r:id="rId98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 </w:t>
        <w:br/>
        <w:t>____________________________________________________________________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14</w:t>
        <w:br/>
        <w:t>к решению ГКРЧ</w:t>
        <w:br/>
        <w:t>от 7 мая 2007 года N 07-20-03-001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(дополнительно включено</w:t>
        <w:br/>
      </w:r>
      <w:hyperlink r:id="rId99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28 апреля 2008 года N 08-24-01-001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Автомобильные радары ближнего действия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автомобильных радаров ближнего действия</w:t>
      </w:r>
    </w:p>
    <w:tbl>
      <w:tblPr>
        <w:tblW w:w="102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86"/>
        <w:gridCol w:w="2006"/>
        <w:gridCol w:w="1903"/>
        <w:gridCol w:w="1184"/>
        <w:gridCol w:w="829"/>
        <w:gridCol w:w="1091"/>
        <w:gridCol w:w="2104"/>
      </w:tblGrid>
      <w:tr>
        <w:trPr>
          <w:trHeight w:val="23" w:hRule="exact"/>
        </w:trPr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50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Рабо-</w:t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радио-</w:t>
              <w:br/>
              <w:t>частот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8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чий цикл</w:t>
            </w:r>
          </w:p>
        </w:tc>
        <w:tc>
          <w:tcPr>
            <w:tcW w:w="10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21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0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Спектральная плотность ЭИИМ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Оборудование должно автоматически отключаться в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0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22,000 &lt; f &lt; 22,65 ГГц</w:t>
            </w:r>
          </w:p>
        </w:tc>
        <w:tc>
          <w:tcPr>
            <w:tcW w:w="190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-61,3+20x(f-21,65 ГГц)/1 ГГц</w:t>
            </w:r>
          </w:p>
        </w:tc>
        <w:tc>
          <w:tcPr>
            <w:tcW w:w="118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82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9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радиусе 35 км от следующих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0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22,65 &lt; f &lt; 25,65 ГГц</w:t>
            </w:r>
          </w:p>
        </w:tc>
        <w:tc>
          <w:tcPr>
            <w:tcW w:w="190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-41,3</w:t>
            </w:r>
          </w:p>
        </w:tc>
        <w:tc>
          <w:tcPr>
            <w:tcW w:w="118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82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9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населенных пунктов:</w:t>
              <w:br/>
              <w:t>Дмитров (56°26'00'' N,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0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25,65 &lt; f &lt; 26,65 ГГц</w:t>
            </w:r>
          </w:p>
        </w:tc>
        <w:tc>
          <w:tcPr>
            <w:tcW w:w="190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-41,3-20x(f-25,65 ГГц)/1 ГГц</w:t>
            </w:r>
          </w:p>
        </w:tc>
        <w:tc>
          <w:tcPr>
            <w:tcW w:w="118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82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9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37°27'00" Е),</w:t>
              <w:br/>
              <w:t>Пущино (54°49'00'' N,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22-26,65 ГГц</w:t>
            </w:r>
          </w:p>
        </w:tc>
        <w:tc>
          <w:tcPr>
            <w:tcW w:w="200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90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37°40'00" Е),</w:t>
              <w:br/>
              <w:t>Калязин (57°13'22'' N,</w:t>
              <w:br/>
              <w:t>37°54'01" Е),</w:t>
            </w:r>
          </w:p>
        </w:tc>
      </w:tr>
      <w:tr>
        <w:trPr/>
        <w:tc>
          <w:tcPr>
            <w:tcW w:w="10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0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Решение ЕСС</w:t>
            </w:r>
          </w:p>
        </w:tc>
        <w:tc>
          <w:tcPr>
            <w:tcW w:w="190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(04)10</w:t>
            </w:r>
          </w:p>
        </w:tc>
        <w:tc>
          <w:tcPr>
            <w:tcW w:w="118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82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Зеленчукская (43°49'53" N,</w:t>
              <w:br/>
              <w:t>41°35'32" Е)</w:t>
            </w:r>
          </w:p>
        </w:tc>
      </w:tr>
      <w:tr>
        <w:trPr/>
        <w:tc>
          <w:tcPr>
            <w:tcW w:w="10203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100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15. Основные технические характеристики и условия использования беспроводных аудиоприложений</w:t>
      </w:r>
    </w:p>
    <w:p>
      <w:pPr>
        <w:pStyle w:val="Normal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____________________________________________________________________</w:t>
        <w:br/>
      </w:r>
      <w:hyperlink r:id="rId101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Приложение 16 предыдущей редакции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 считается приложением 15 настоящей редакции - </w:t>
      </w:r>
      <w:hyperlink r:id="rId10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 ГКРЧ при Мининформсвязи России от 15 декабря 2009 года N 09-05-09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. </w:t>
        <w:br/>
        <w:t>____________________________________________________________________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15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103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19 августа 2009 года N 09-04-07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Основные технические характеристики и условия использования беспроводных аудиоприложений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 октября 2012 года)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Беспроводные аудиоприложения - это устройства малого радиуса действия, предназначенные для передачи звуковой информации внутри ограниченного пространства.</w:t>
        <w:br/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34"/>
        <w:gridCol w:w="2057"/>
        <w:gridCol w:w="1208"/>
        <w:gridCol w:w="1148"/>
        <w:gridCol w:w="1150"/>
        <w:gridCol w:w="1203"/>
        <w:gridCol w:w="1804"/>
      </w:tblGrid>
      <w:tr>
        <w:trPr>
          <w:trHeight w:val="23" w:hRule="exact"/>
        </w:trPr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3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  <w:br/>
              <w:t>радиочастот</w:t>
            </w:r>
          </w:p>
        </w:tc>
        <w:tc>
          <w:tcPr>
            <w:tcW w:w="44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 каналов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Дополни-</w:t>
              <w:br/>
              <w:t>тельные</w:t>
            </w:r>
          </w:p>
        </w:tc>
      </w:tr>
      <w:tr>
        <w:trPr/>
        <w:tc>
          <w:tcPr>
            <w:tcW w:w="1634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Размер-</w:t>
              <w:br/>
              <w:t>ность</w:t>
            </w:r>
          </w:p>
        </w:tc>
        <w:tc>
          <w:tcPr>
            <w:tcW w:w="1150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03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63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87,5-108 МГц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минус 43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203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Разрешается использование внутри салонов автомобилей и других транспортных средств, а также внутри закрытых помещений.</w:t>
            </w:r>
          </w:p>
        </w:tc>
      </w:tr>
      <w:tr>
        <w:trPr/>
        <w:tc>
          <w:tcPr>
            <w:tcW w:w="1634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мощность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нВт</w:t>
            </w:r>
          </w:p>
        </w:tc>
        <w:tc>
          <w:tcPr>
            <w:tcW w:w="1150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03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34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Тип антенны</w:t>
            </w:r>
          </w:p>
        </w:tc>
        <w:tc>
          <w:tcPr>
            <w:tcW w:w="2356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ненаправленная</w:t>
            </w:r>
          </w:p>
        </w:tc>
        <w:tc>
          <w:tcPr>
            <w:tcW w:w="1150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03" w:type="dxa"/>
            <w:tcBorders>
              <w:left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104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Мининформсвязи России от 2 октября 2012 года N 12-15-08-8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16. Сверхширокополосные беспроводные устройства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16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105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15 декабря 2009 года N 09-05-02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  <w:br/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Сверхширокополосные беспроводные устройства - это устройства малого радиуса действия, использующие для передачи и/или приема данных радиочастотный канал шириной не менее 500 МГц.</w:t>
        <w:br/>
        <w:br/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сверхширокополосных беспроводных устройств в диапазоне 2,85-10,6 ГГц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5"/>
        <w:gridCol w:w="2093"/>
        <w:gridCol w:w="1276"/>
        <w:gridCol w:w="1489"/>
        <w:gridCol w:w="1486"/>
        <w:gridCol w:w="2245"/>
      </w:tblGrid>
      <w:tr>
        <w:trPr>
          <w:trHeight w:val="23" w:hRule="exac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 радиочастот, МГц</w:t>
            </w:r>
          </w:p>
        </w:tc>
        <w:tc>
          <w:tcPr>
            <w:tcW w:w="48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Частотный канал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 условия использования</w:t>
            </w:r>
          </w:p>
        </w:tc>
      </w:tr>
      <w:tr>
        <w:trPr/>
        <w:tc>
          <w:tcPr>
            <w:tcW w:w="16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4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2850-3375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-57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менее 500</w:t>
              <w:br/>
              <w:t>МГц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 Запрещается использование вне закрытых помещений*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3375-3950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-61,5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20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* Условие применения устройств малого радиуса действия внутри закрытых помещений предусматривает дополнительное ослабление радиосигнала от указанных устройств в направлении других РЭС, функционирующих в соответствии с Таблицей распределения полос частот между радиослужбами Российской Федерации, вносимое конструкциями помещений.</w:t>
              <w:br/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3950-4425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-54,5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 Запрещается использование на борту воздушных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4425-5470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-50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судов во время набора заданной высоты и снижения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5470-6000</w:t>
            </w:r>
          </w:p>
        </w:tc>
        <w:tc>
          <w:tcPr>
            <w:tcW w:w="2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-62,5</w:t>
            </w:r>
          </w:p>
        </w:tc>
        <w:tc>
          <w:tcPr>
            <w:tcW w:w="14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 посадку. 3. Запрещается использование на грузовых терминалах в аэропортах.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6000-8100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-47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 Запрещается использование вне закрытых помещений.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8100-8625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-65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менее 500 МГц</w:t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 Запрещается использование на борту воздушных судов во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8625-9150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-47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время набора заданной высоты и снижения на посадку.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9150-10600</w:t>
            </w:r>
          </w:p>
        </w:tc>
        <w:tc>
          <w:tcPr>
            <w:tcW w:w="2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-45</w:t>
            </w:r>
          </w:p>
        </w:tc>
        <w:tc>
          <w:tcPr>
            <w:tcW w:w="14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3. Запрещается использование на грузовых терминалах в аэропортах.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2850-3375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-57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3375-4800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-76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4800-5475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-50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5475-6000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-62,5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6000-7250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спектральная плотность ЭИИМ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-47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дБм/МГц</w:t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менее 500 МГц</w:t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 по территории</w:t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7250-7750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-73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7750-8625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-69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8625-9150</w:t>
            </w:r>
          </w:p>
        </w:tc>
        <w:tc>
          <w:tcPr>
            <w:tcW w:w="209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-47</w:t>
            </w:r>
          </w:p>
        </w:tc>
        <w:tc>
          <w:tcPr>
            <w:tcW w:w="148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9150-10600</w:t>
            </w:r>
          </w:p>
        </w:tc>
        <w:tc>
          <w:tcPr>
            <w:tcW w:w="20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-45</w:t>
            </w:r>
          </w:p>
        </w:tc>
        <w:tc>
          <w:tcPr>
            <w:tcW w:w="14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4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N 17. Активные медицинские имплантанты и связанное с ними дополнительное оборудование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Приложение N 17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106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29 октября 2010 года N 10-09-03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3C3C3C"/>
          <w:sz w:val="41"/>
          <w:szCs w:val="41"/>
          <w:lang w:eastAsia="ru-RU"/>
        </w:rPr>
        <w:br/>
        <w:t>Активные медицинские имплантаты и связанное с ними дополнительное оборудование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29 февраля 2016 года)</w:t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активных медицинских имплантатов и связанного с ними дополнительного оборудования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37"/>
        <w:gridCol w:w="1676"/>
        <w:gridCol w:w="89"/>
        <w:gridCol w:w="1088"/>
        <w:gridCol w:w="1456"/>
        <w:gridCol w:w="1481"/>
        <w:gridCol w:w="1074"/>
        <w:gridCol w:w="1902"/>
      </w:tblGrid>
      <w:tr>
        <w:trPr>
          <w:trHeight w:val="23" w:hRule="exact"/>
        </w:trPr>
        <w:tc>
          <w:tcPr>
            <w:tcW w:w="1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3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4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 цикл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43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радиочастот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4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0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19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402-405 МГц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ЭИИМ</w:t>
            </w:r>
          </w:p>
        </w:tc>
        <w:tc>
          <w:tcPr>
            <w:tcW w:w="11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-50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 кГц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Для активных медицинских имплантатов сверхмалой мощности и дополнительного оборудования.</w:t>
              <w:br/>
              <w:br/>
              <w:t>Некоторые передатчики для увеличения ширины полосы частот до 300 кГц могут использовать соседние каналы.</w:t>
            </w:r>
          </w:p>
        </w:tc>
      </w:tr>
      <w:tr>
        <w:trPr/>
        <w:tc>
          <w:tcPr>
            <w:tcW w:w="14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401-402 МГц</w:t>
              <w:br/>
              <w:t>405-406 МГц</w:t>
            </w:r>
          </w:p>
        </w:tc>
        <w:tc>
          <w:tcPr>
            <w:tcW w:w="176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ЭИМ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-66*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4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 кГц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* Возможно применение устройств с максимальной ЭИМ - 46 дБВт внутри закрытых помещений***</w:t>
            </w:r>
          </w:p>
        </w:tc>
      </w:tr>
      <w:tr>
        <w:trPr/>
        <w:tc>
          <w:tcPr>
            <w:tcW w:w="10203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107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30 июня 2015 года N 15-33-09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 редакции, введенной в действие </w:t>
            </w:r>
            <w:hyperlink r:id="rId108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29 февраля 2016 года N 16-36-03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>
        <w:trPr/>
        <w:tc>
          <w:tcPr>
            <w:tcW w:w="14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9-315 кГц</w:t>
            </w:r>
          </w:p>
        </w:tc>
        <w:tc>
          <w:tcPr>
            <w:tcW w:w="176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напряженность магнитного поля на расстоянии 10 м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 (мкА/м)</w:t>
            </w:r>
          </w:p>
        </w:tc>
        <w:tc>
          <w:tcPr>
            <w:tcW w:w="14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3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109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29 февраля 2016 года N 16-36-03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N 18. Устройства для измерения уровней жидкостей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N 18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110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Мининформсвязи России</w:t>
          <w:br/>
          <w:t>от 2 октября 2012 года N 12-15-08-8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(с изменениями на 10 февраля 2015 года)</w:t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z w:val="38"/>
          <w:szCs w:val="38"/>
          <w:lang w:eastAsia="ru-RU"/>
        </w:rPr>
      </w:pPr>
      <w:r>
        <w:rPr>
          <w:rFonts w:eastAsia="Times New Roman" w:cs="Arial" w:ascii="Arial" w:hAnsi="Arial"/>
          <w:color w:val="4C4C4C"/>
          <w:sz w:val="38"/>
          <w:szCs w:val="38"/>
          <w:lang w:eastAsia="ru-RU"/>
        </w:rPr>
        <w:t>Основные технические характеристики и условия использования устройств для измерения уровней жидкостей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02"/>
        <w:gridCol w:w="1769"/>
        <w:gridCol w:w="1189"/>
        <w:gridCol w:w="1512"/>
        <w:gridCol w:w="1213"/>
        <w:gridCol w:w="1046"/>
        <w:gridCol w:w="1973"/>
      </w:tblGrid>
      <w:tr>
        <w:trPr>
          <w:trHeight w:val="23" w:hRule="exact"/>
        </w:trPr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C4C4C"/>
                <w:sz w:val="38"/>
                <w:szCs w:val="3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C4C4C"/>
                <w:sz w:val="38"/>
                <w:szCs w:val="38"/>
                <w:lang w:eastAsia="ru-RU"/>
              </w:rPr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4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5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радиочастот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21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10,5-10,6 ГГц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5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24,05-26,5 ГГц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 ограни-</w:t>
              <w:br/>
              <w:t>чений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>
        <w:trPr/>
        <w:tc>
          <w:tcPr>
            <w:tcW w:w="10204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111">
              <w:r>
                <w:rPr>
                  <w:rStyle w:val="Style11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ГКРЧ при Минкомсвязи России от 10 февраля 2015 года N 15-30-07-5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z w:val="41"/>
          <w:szCs w:val="41"/>
          <w:lang w:eastAsia="ru-RU"/>
        </w:rPr>
        <w:t>Приложение N 19. Локаторы (измерители) нелинейностей</w:t>
      </w:r>
    </w:p>
    <w:p>
      <w:pPr>
        <w:pStyle w:val="Normal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Приложение N 19</w:t>
        <w:br/>
        <w:t>к решению ГКРЧ</w:t>
        <w:br/>
        <w:t>от 7 мая 2007 года N 07-20-03-001</w:t>
        <w:br/>
        <w:t>(Дополнительно включено</w:t>
        <w:br/>
      </w:r>
      <w:hyperlink r:id="rId112">
        <w:r>
          <w:rPr>
            <w:rStyle w:val="Style11"/>
            <w:rFonts w:eastAsia="Times New Roman" w:cs="Times New Roman" w:ascii="Times New Roman" w:hAnsi="Times New Roman"/>
            <w:color w:val="00466E"/>
            <w:sz w:val="21"/>
            <w:szCs w:val="21"/>
            <w:u w:val="single"/>
            <w:lang w:eastAsia="ru-RU"/>
          </w:rPr>
          <w:t>решением ГКРЧ при Минкомсвязи России</w:t>
          <w:br/>
          <w:t>от 22 июля 2014 года N 14-26-12</w:t>
        </w:r>
      </w:hyperlink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t>)</w:t>
      </w:r>
    </w:p>
    <w:p>
      <w:pPr>
        <w:pStyle w:val="Normal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1"/>
          <w:szCs w:val="21"/>
          <w:lang w:eastAsia="ru-RU"/>
        </w:rPr>
        <w:br/>
        <w:t>Локаторы (измерители) нелинейностей - это устройства неразрушающего контроля, предназначенные для выявления электронных устройств, содержащих полупроводниковые компоненты, в ограждающих конструкциях, предметах мебели и интерьера. </w:t>
        <w:br/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71"/>
        <w:gridCol w:w="1676"/>
        <w:gridCol w:w="1144"/>
        <w:gridCol w:w="1467"/>
        <w:gridCol w:w="1"/>
        <w:gridCol w:w="1557"/>
        <w:gridCol w:w="2"/>
        <w:gridCol w:w="1037"/>
        <w:gridCol w:w="1"/>
        <w:gridCol w:w="1848"/>
      </w:tblGrid>
      <w:tr>
        <w:trPr>
          <w:trHeight w:val="23" w:hRule="exact"/>
        </w:trPr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7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Полосы</w:t>
            </w:r>
          </w:p>
        </w:tc>
        <w:tc>
          <w:tcPr>
            <w:tcW w:w="42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03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Разнос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</w:p>
        </w:tc>
      </w:tr>
      <w:tr>
        <w:trPr/>
        <w:tc>
          <w:tcPr>
            <w:tcW w:w="14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радиочастот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Размерность</w:t>
            </w:r>
          </w:p>
        </w:tc>
        <w:tc>
          <w:tcPr>
            <w:tcW w:w="15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039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каналов</w:t>
            </w:r>
          </w:p>
        </w:tc>
        <w:tc>
          <w:tcPr>
            <w:tcW w:w="1849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условия использования</w:t>
            </w:r>
          </w:p>
        </w:tc>
      </w:tr>
      <w:tr>
        <w:trPr/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2404-2472 МГц, 902-928 МГц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ЭИИМ, не более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дБВт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1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42424"/>
                <w:spacing w:val="2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242424"/>
                <w:spacing w:val="2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c4a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5c4a6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5c4a6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c4a6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c4a6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c4a6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5c4a6c"/>
    <w:rPr/>
  </w:style>
  <w:style w:type="character" w:styleId="Style11">
    <w:name w:val="Интернет-ссылка"/>
    <w:basedOn w:val="DefaultParagraphFont"/>
    <w:uiPriority w:val="99"/>
    <w:semiHidden/>
    <w:unhideWhenUsed/>
    <w:rsid w:val="005c4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c4a6c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5c4a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5c4a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c4a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5c4a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107109" TargetMode="External"/><Relationship Id="rId3" Type="http://schemas.openxmlformats.org/officeDocument/2006/relationships/hyperlink" Target="http://docs.cntd.ru/document/902182089" TargetMode="External"/><Relationship Id="rId4" Type="http://schemas.openxmlformats.org/officeDocument/2006/relationships/hyperlink" Target="http://docs.cntd.ru/document/902193480" TargetMode="External"/><Relationship Id="rId5" Type="http://schemas.openxmlformats.org/officeDocument/2006/relationships/hyperlink" Target="http://docs.cntd.ru/document/902193481" TargetMode="External"/><Relationship Id="rId6" Type="http://schemas.openxmlformats.org/officeDocument/2006/relationships/hyperlink" Target="http://docs.cntd.ru/document/902245046" TargetMode="External"/><Relationship Id="rId7" Type="http://schemas.openxmlformats.org/officeDocument/2006/relationships/hyperlink" Target="http://docs.cntd.ru/document/902322714" TargetMode="External"/><Relationship Id="rId8" Type="http://schemas.openxmlformats.org/officeDocument/2006/relationships/hyperlink" Target="http://docs.cntd.ru/document/902379124" TargetMode="External"/><Relationship Id="rId9" Type="http://schemas.openxmlformats.org/officeDocument/2006/relationships/hyperlink" Target="http://docs.cntd.ru/document/902392318" TargetMode="External"/><Relationship Id="rId10" Type="http://schemas.openxmlformats.org/officeDocument/2006/relationships/hyperlink" Target="http://docs.cntd.ru/document/499028606" TargetMode="External"/><Relationship Id="rId11" Type="http://schemas.openxmlformats.org/officeDocument/2006/relationships/hyperlink" Target="http://docs.cntd.ru/document/499065972" TargetMode="External"/><Relationship Id="rId12" Type="http://schemas.openxmlformats.org/officeDocument/2006/relationships/hyperlink" Target="http://docs.cntd.ru/document/420213898" TargetMode="External"/><Relationship Id="rId13" Type="http://schemas.openxmlformats.org/officeDocument/2006/relationships/hyperlink" Target="http://docs.cntd.ru/document/456001728" TargetMode="External"/><Relationship Id="rId14" Type="http://schemas.openxmlformats.org/officeDocument/2006/relationships/hyperlink" Target="http://docs.cntd.ru/document/420255349" TargetMode="External"/><Relationship Id="rId15" Type="http://schemas.openxmlformats.org/officeDocument/2006/relationships/hyperlink" Target="http://docs.cntd.ru/document/420289406" TargetMode="External"/><Relationship Id="rId16" Type="http://schemas.openxmlformats.org/officeDocument/2006/relationships/hyperlink" Target="http://docs.cntd.ru/document/420342446" TargetMode="External"/><Relationship Id="rId17" Type="http://schemas.openxmlformats.org/officeDocument/2006/relationships/hyperlink" Target="http://docs.cntd.ru/document/456051805" TargetMode="External"/><Relationship Id="rId18" Type="http://schemas.openxmlformats.org/officeDocument/2006/relationships/hyperlink" Target="http://docs.cntd.ru/document/901879536" TargetMode="External"/><Relationship Id="rId19" Type="http://schemas.openxmlformats.org/officeDocument/2006/relationships/hyperlink" Target="http://docs.cntd.ru/document/1200076815" TargetMode="External"/><Relationship Id="rId20" Type="http://schemas.openxmlformats.org/officeDocument/2006/relationships/hyperlink" Target="http://docs.cntd.ru/document/1200107669" TargetMode="External"/><Relationship Id="rId21" Type="http://schemas.openxmlformats.org/officeDocument/2006/relationships/hyperlink" Target="http://docs.cntd.ru/document/499038505" TargetMode="External"/><Relationship Id="rId22" Type="http://schemas.openxmlformats.org/officeDocument/2006/relationships/hyperlink" Target="http://docs.cntd.ru/document/499065972" TargetMode="External"/><Relationship Id="rId23" Type="http://schemas.openxmlformats.org/officeDocument/2006/relationships/hyperlink" Target="http://docs.cntd.ru/document/1200028922" TargetMode="External"/><Relationship Id="rId24" Type="http://schemas.openxmlformats.org/officeDocument/2006/relationships/hyperlink" Target="http://docs.cntd.ru/document/902039839" TargetMode="External"/><Relationship Id="rId25" Type="http://schemas.openxmlformats.org/officeDocument/2006/relationships/hyperlink" Target="http://docs.cntd.ru/document/902039839" TargetMode="External"/><Relationship Id="rId26" Type="http://schemas.openxmlformats.org/officeDocument/2006/relationships/hyperlink" Target="http://docs.cntd.ru/document/902193481" TargetMode="External"/><Relationship Id="rId27" Type="http://schemas.openxmlformats.org/officeDocument/2006/relationships/hyperlink" Target="http://docs.cntd.ru/document/456051805" TargetMode="External"/><Relationship Id="rId28" Type="http://schemas.openxmlformats.org/officeDocument/2006/relationships/hyperlink" Target="http://docs.cntd.ru/document/542600390" TargetMode="External"/><Relationship Id="rId29" Type="http://schemas.openxmlformats.org/officeDocument/2006/relationships/hyperlink" Target="http://docs.cntd.ru/document/902379124" TargetMode="External"/><Relationship Id="rId30" Type="http://schemas.openxmlformats.org/officeDocument/2006/relationships/hyperlink" Target="http://docs.cntd.ru/document/542600282" TargetMode="External"/><Relationship Id="rId31" Type="http://schemas.openxmlformats.org/officeDocument/2006/relationships/hyperlink" Target="http://docs.cntd.ru/document/499065972" TargetMode="External"/><Relationship Id="rId32" Type="http://schemas.openxmlformats.org/officeDocument/2006/relationships/hyperlink" Target="http://docs.cntd.ru/document/456001728" TargetMode="External"/><Relationship Id="rId33" Type="http://schemas.openxmlformats.org/officeDocument/2006/relationships/hyperlink" Target="http://docs.cntd.ru/document/420342446" TargetMode="External"/><Relationship Id="rId34" Type="http://schemas.openxmlformats.org/officeDocument/2006/relationships/hyperlink" Target="http://docs.cntd.ru/document/542600383" TargetMode="External"/><Relationship Id="rId35" Type="http://schemas.openxmlformats.org/officeDocument/2006/relationships/hyperlink" Target="http://docs.cntd.ru/document/902327854" TargetMode="External"/><Relationship Id="rId36" Type="http://schemas.openxmlformats.org/officeDocument/2006/relationships/hyperlink" Target="http://docs.cntd.ru/document/902182089" TargetMode="External"/><Relationship Id="rId37" Type="http://schemas.openxmlformats.org/officeDocument/2006/relationships/hyperlink" Target="http://docs.cntd.ru/document/902197104" TargetMode="External"/><Relationship Id="rId38" Type="http://schemas.openxmlformats.org/officeDocument/2006/relationships/hyperlink" Target="http://docs.cntd.ru/document/902379124" TargetMode="External"/><Relationship Id="rId39" Type="http://schemas.openxmlformats.org/officeDocument/2006/relationships/hyperlink" Target="http://docs.cntd.ru/document/902379124" TargetMode="External"/><Relationship Id="rId40" Type="http://schemas.openxmlformats.org/officeDocument/2006/relationships/hyperlink" Target="http://docs.cntd.ru/document/902379124" TargetMode="External"/><Relationship Id="rId41" Type="http://schemas.openxmlformats.org/officeDocument/2006/relationships/hyperlink" Target="http://docs.cntd.ru/document/902379124" TargetMode="External"/><Relationship Id="rId42" Type="http://schemas.openxmlformats.org/officeDocument/2006/relationships/hyperlink" Target="http://docs.cntd.ru/document/902379124" TargetMode="External"/><Relationship Id="rId43" Type="http://schemas.openxmlformats.org/officeDocument/2006/relationships/hyperlink" Target="http://docs.cntd.ru/document/902379124" TargetMode="External"/><Relationship Id="rId44" Type="http://schemas.openxmlformats.org/officeDocument/2006/relationships/hyperlink" Target="http://docs.cntd.ru/document/902379124" TargetMode="External"/><Relationship Id="rId45" Type="http://schemas.openxmlformats.org/officeDocument/2006/relationships/hyperlink" Target="http://docs.cntd.ru/document/902379124" TargetMode="External"/><Relationship Id="rId46" Type="http://schemas.openxmlformats.org/officeDocument/2006/relationships/hyperlink" Target="http://docs.cntd.ru/document/902379124" TargetMode="External"/><Relationship Id="rId47" Type="http://schemas.openxmlformats.org/officeDocument/2006/relationships/hyperlink" Target="http://docs.cntd.ru/document/902379124" TargetMode="External"/><Relationship Id="rId48" Type="http://schemas.openxmlformats.org/officeDocument/2006/relationships/hyperlink" Target="http://docs.cntd.ru/document/902193481" TargetMode="External"/><Relationship Id="rId49" Type="http://schemas.openxmlformats.org/officeDocument/2006/relationships/hyperlink" Target="http://docs.cntd.ru/document/902379124" TargetMode="External"/><Relationship Id="rId50" Type="http://schemas.openxmlformats.org/officeDocument/2006/relationships/hyperlink" Target="http://docs.cntd.ru/document/902379124" TargetMode="External"/><Relationship Id="rId51" Type="http://schemas.openxmlformats.org/officeDocument/2006/relationships/hyperlink" Target="http://docs.cntd.ru/document/902379124" TargetMode="External"/><Relationship Id="rId52" Type="http://schemas.openxmlformats.org/officeDocument/2006/relationships/hyperlink" Target="http://docs.cntd.ru/document/456051805" TargetMode="External"/><Relationship Id="rId53" Type="http://schemas.openxmlformats.org/officeDocument/2006/relationships/hyperlink" Target="http://docs.cntd.ru/document/902379124" TargetMode="External"/><Relationship Id="rId54" Type="http://schemas.openxmlformats.org/officeDocument/2006/relationships/hyperlink" Target="http://docs.cntd.ru/document/902379124" TargetMode="External"/><Relationship Id="rId55" Type="http://schemas.openxmlformats.org/officeDocument/2006/relationships/hyperlink" Target="http://docs.cntd.ru/document/902379124" TargetMode="External"/><Relationship Id="rId56" Type="http://schemas.openxmlformats.org/officeDocument/2006/relationships/hyperlink" Target="http://docs.cntd.ru/document/902379124" TargetMode="External"/><Relationship Id="rId57" Type="http://schemas.openxmlformats.org/officeDocument/2006/relationships/hyperlink" Target="http://docs.cntd.ru/document/902379124" TargetMode="External"/><Relationship Id="rId58" Type="http://schemas.openxmlformats.org/officeDocument/2006/relationships/hyperlink" Target="http://docs.cntd.ru/document/902379124" TargetMode="External"/><Relationship Id="rId59" Type="http://schemas.openxmlformats.org/officeDocument/2006/relationships/hyperlink" Target="http://docs.cntd.ru/document/902379124" TargetMode="External"/><Relationship Id="rId60" Type="http://schemas.openxmlformats.org/officeDocument/2006/relationships/hyperlink" Target="http://docs.cntd.ru/document/902379124" TargetMode="External"/><Relationship Id="rId61" Type="http://schemas.openxmlformats.org/officeDocument/2006/relationships/hyperlink" Target="http://docs.cntd.ru/document/499028606" TargetMode="External"/><Relationship Id="rId62" Type="http://schemas.openxmlformats.org/officeDocument/2006/relationships/hyperlink" Target="http://docs.cntd.ru/document/902379124" TargetMode="External"/><Relationship Id="rId63" Type="http://schemas.openxmlformats.org/officeDocument/2006/relationships/hyperlink" Target="http://docs.cntd.ru/document/499028606" TargetMode="External"/><Relationship Id="rId64" Type="http://schemas.openxmlformats.org/officeDocument/2006/relationships/hyperlink" Target="http://docs.cntd.ru/document/420342446" TargetMode="External"/><Relationship Id="rId65" Type="http://schemas.openxmlformats.org/officeDocument/2006/relationships/hyperlink" Target="http://docs.cntd.ru/document/902327854" TargetMode="External"/><Relationship Id="rId66" Type="http://schemas.openxmlformats.org/officeDocument/2006/relationships/hyperlink" Target="http://docs.cntd.ru/document/420342446" TargetMode="External"/><Relationship Id="rId67" Type="http://schemas.openxmlformats.org/officeDocument/2006/relationships/hyperlink" Target="http://docs.cntd.ru/document/902182089" TargetMode="External"/><Relationship Id="rId68" Type="http://schemas.openxmlformats.org/officeDocument/2006/relationships/hyperlink" Target="http://docs.cntd.ru/document/902197104" TargetMode="External"/><Relationship Id="rId69" Type="http://schemas.openxmlformats.org/officeDocument/2006/relationships/hyperlink" Target="http://docs.cntd.ru/document/902392318" TargetMode="External"/><Relationship Id="rId70" Type="http://schemas.openxmlformats.org/officeDocument/2006/relationships/hyperlink" Target="http://docs.cntd.ru/document/902379124" TargetMode="External"/><Relationship Id="rId71" Type="http://schemas.openxmlformats.org/officeDocument/2006/relationships/hyperlink" Target="http://docs.cntd.ru/document/902379124" TargetMode="External"/><Relationship Id="rId72" Type="http://schemas.openxmlformats.org/officeDocument/2006/relationships/hyperlink" Target="http://docs.cntd.ru/document/902245046" TargetMode="External"/><Relationship Id="rId73" Type="http://schemas.openxmlformats.org/officeDocument/2006/relationships/hyperlink" Target="http://docs.cntd.ru/document/902245046" TargetMode="External"/><Relationship Id="rId74" Type="http://schemas.openxmlformats.org/officeDocument/2006/relationships/hyperlink" Target="http://docs.cntd.ru/document/499028606" TargetMode="External"/><Relationship Id="rId75" Type="http://schemas.openxmlformats.org/officeDocument/2006/relationships/hyperlink" Target="http://docs.cntd.ru/document/902379124" TargetMode="External"/><Relationship Id="rId76" Type="http://schemas.openxmlformats.org/officeDocument/2006/relationships/hyperlink" Target="http://docs.cntd.ru/document/902379124" TargetMode="External"/><Relationship Id="rId77" Type="http://schemas.openxmlformats.org/officeDocument/2006/relationships/hyperlink" Target="http://docs.cntd.ru/document/902379124" TargetMode="External"/><Relationship Id="rId78" Type="http://schemas.openxmlformats.org/officeDocument/2006/relationships/hyperlink" Target="http://docs.cntd.ru/document/902107109" TargetMode="External"/><Relationship Id="rId79" Type="http://schemas.openxmlformats.org/officeDocument/2006/relationships/hyperlink" Target="http://docs.cntd.ru/document/902379124" TargetMode="External"/><Relationship Id="rId80" Type="http://schemas.openxmlformats.org/officeDocument/2006/relationships/hyperlink" Target="http://docs.cntd.ru/document/902379124" TargetMode="External"/><Relationship Id="rId81" Type="http://schemas.openxmlformats.org/officeDocument/2006/relationships/hyperlink" Target="http://docs.cntd.ru/document/902379124" TargetMode="External"/><Relationship Id="rId82" Type="http://schemas.openxmlformats.org/officeDocument/2006/relationships/hyperlink" Target="http://docs.cntd.ru/document/902107109" TargetMode="External"/><Relationship Id="rId83" Type="http://schemas.openxmlformats.org/officeDocument/2006/relationships/hyperlink" Target="http://docs.cntd.ru/document/902379124" TargetMode="External"/><Relationship Id="rId84" Type="http://schemas.openxmlformats.org/officeDocument/2006/relationships/hyperlink" Target="http://docs.cntd.ru/document/902379124" TargetMode="External"/><Relationship Id="rId85" Type="http://schemas.openxmlformats.org/officeDocument/2006/relationships/hyperlink" Target="http://docs.cntd.ru/document/902379124" TargetMode="External"/><Relationship Id="rId86" Type="http://schemas.openxmlformats.org/officeDocument/2006/relationships/hyperlink" Target="http://docs.cntd.ru/document/902107109" TargetMode="External"/><Relationship Id="rId87" Type="http://schemas.openxmlformats.org/officeDocument/2006/relationships/hyperlink" Target="http://docs.cntd.ru/document/902193481" TargetMode="External"/><Relationship Id="rId88" Type="http://schemas.openxmlformats.org/officeDocument/2006/relationships/hyperlink" Target="http://docs.cntd.ru/document/902197107" TargetMode="External"/><Relationship Id="rId89" Type="http://schemas.openxmlformats.org/officeDocument/2006/relationships/hyperlink" Target="http://docs.cntd.ru/document/902197107" TargetMode="External"/><Relationship Id="rId90" Type="http://schemas.openxmlformats.org/officeDocument/2006/relationships/hyperlink" Target="http://docs.cntd.ru/document/902193481" TargetMode="External"/><Relationship Id="rId91" Type="http://schemas.openxmlformats.org/officeDocument/2006/relationships/hyperlink" Target="http://docs.cntd.ru/document/902107109" TargetMode="External"/><Relationship Id="rId92" Type="http://schemas.openxmlformats.org/officeDocument/2006/relationships/hyperlink" Target="http://docs.cntd.ru/document/902379124" TargetMode="External"/><Relationship Id="rId93" Type="http://schemas.openxmlformats.org/officeDocument/2006/relationships/hyperlink" Target="http://docs.cntd.ru/document/902197107" TargetMode="External"/><Relationship Id="rId94" Type="http://schemas.openxmlformats.org/officeDocument/2006/relationships/hyperlink" Target="http://docs.cntd.ru/document/902193481" TargetMode="External"/><Relationship Id="rId95" Type="http://schemas.openxmlformats.org/officeDocument/2006/relationships/hyperlink" Target="http://docs.cntd.ru/document/902107109" TargetMode="External"/><Relationship Id="rId96" Type="http://schemas.openxmlformats.org/officeDocument/2006/relationships/hyperlink" Target="http://docs.cntd.ru/document/902379124" TargetMode="External"/><Relationship Id="rId97" Type="http://schemas.openxmlformats.org/officeDocument/2006/relationships/hyperlink" Target="http://docs.cntd.ru/document/902197107" TargetMode="External"/><Relationship Id="rId98" Type="http://schemas.openxmlformats.org/officeDocument/2006/relationships/hyperlink" Target="http://docs.cntd.ru/document/902193481" TargetMode="External"/><Relationship Id="rId99" Type="http://schemas.openxmlformats.org/officeDocument/2006/relationships/hyperlink" Target="http://docs.cntd.ru/document/902107109" TargetMode="External"/><Relationship Id="rId100" Type="http://schemas.openxmlformats.org/officeDocument/2006/relationships/hyperlink" Target="http://docs.cntd.ru/document/902379124" TargetMode="External"/><Relationship Id="rId101" Type="http://schemas.openxmlformats.org/officeDocument/2006/relationships/hyperlink" Target="http://docs.cntd.ru/document/902197107" TargetMode="External"/><Relationship Id="rId102" Type="http://schemas.openxmlformats.org/officeDocument/2006/relationships/hyperlink" Target="http://docs.cntd.ru/document/902193481" TargetMode="External"/><Relationship Id="rId103" Type="http://schemas.openxmlformats.org/officeDocument/2006/relationships/hyperlink" Target="http://docs.cntd.ru/document/902182089" TargetMode="External"/><Relationship Id="rId104" Type="http://schemas.openxmlformats.org/officeDocument/2006/relationships/hyperlink" Target="http://docs.cntd.ru/document/902379124" TargetMode="External"/><Relationship Id="rId105" Type="http://schemas.openxmlformats.org/officeDocument/2006/relationships/hyperlink" Target="http://docs.cntd.ru/document/902193480" TargetMode="External"/><Relationship Id="rId106" Type="http://schemas.openxmlformats.org/officeDocument/2006/relationships/hyperlink" Target="http://docs.cntd.ru/document/902245046" TargetMode="External"/><Relationship Id="rId107" Type="http://schemas.openxmlformats.org/officeDocument/2006/relationships/hyperlink" Target="http://docs.cntd.ru/document/420289406" TargetMode="External"/><Relationship Id="rId108" Type="http://schemas.openxmlformats.org/officeDocument/2006/relationships/hyperlink" Target="http://docs.cntd.ru/document/420342446" TargetMode="External"/><Relationship Id="rId109" Type="http://schemas.openxmlformats.org/officeDocument/2006/relationships/hyperlink" Target="http://docs.cntd.ru/document/420342446" TargetMode="External"/><Relationship Id="rId110" Type="http://schemas.openxmlformats.org/officeDocument/2006/relationships/hyperlink" Target="http://docs.cntd.ru/document/902379124" TargetMode="External"/><Relationship Id="rId111" Type="http://schemas.openxmlformats.org/officeDocument/2006/relationships/hyperlink" Target="http://docs.cntd.ru/document/420255349" TargetMode="External"/><Relationship Id="rId112" Type="http://schemas.openxmlformats.org/officeDocument/2006/relationships/hyperlink" Target="http://docs.cntd.ru/document/420213898" TargetMode="External"/><Relationship Id="rId113" Type="http://schemas.openxmlformats.org/officeDocument/2006/relationships/fontTable" Target="fontTable.xml"/><Relationship Id="rId114" Type="http://schemas.openxmlformats.org/officeDocument/2006/relationships/settings" Target="settings.xml"/><Relationship Id="rId1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33</Pages>
  <Words>5743</Words>
  <Characters>38408</Characters>
  <CharactersWithSpaces>43323</CharactersWithSpaces>
  <Paragraphs>1010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2017-07-17T12:54:00Z</dcterms:created>
  <dc:creator>Ulko</dc:creator>
  <dc:description/>
  <dc:language>ru-RU</dc:language>
  <cp:lastModifiedBy/>
  <dcterms:modified xsi:type="dcterms:W3CDTF">2017-07-17T21:27:41Z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